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FB" w:rsidRDefault="00EE6AFB" w:rsidP="00EE6AFB">
      <w:pPr>
        <w:pStyle w:val="normal"/>
        <w:rPr>
          <w:b/>
          <w:bCs/>
        </w:rPr>
      </w:pPr>
      <w:r>
        <w:rPr>
          <w:b/>
          <w:bCs/>
        </w:rPr>
        <w:t>Публикации:</w:t>
      </w:r>
    </w:p>
    <w:p w:rsidR="00EE6AFB" w:rsidRDefault="00EE6AFB" w:rsidP="00EE6AFB">
      <w:pPr>
        <w:pStyle w:val="normal"/>
      </w:pPr>
    </w:p>
    <w:p w:rsidR="00EE6AFB" w:rsidRDefault="00EE6AFB" w:rsidP="00EE6AFB">
      <w:pPr>
        <w:pStyle w:val="normal"/>
        <w:numPr>
          <w:ilvl w:val="0"/>
          <w:numId w:val="1"/>
        </w:numPr>
      </w:pPr>
      <w:r>
        <w:t>Аблова Е. Е. Подходы к созданию и изучению фонда мемориальных досок в Российской империи, СССР и Российской Федерации // СибСкрипт. 2024. №6 (36).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Беседина Е. А., Буркова Т. В. «... был депутатом Государственной думы»: мемориальные доски как знаки коммеморации о деятельности российских парламентариев начала ХХ века // Таврические чтения 2015. Актуальные проблемы парламентаризма: история и современность. Международная науч. конф. Сб. научн. статей / Под ред. А. Б. Николаева: В 2- х ч. СПб: Издательство «ЭлекСис», 2016.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Беседина Е. А., Буркова Т. В. «В этом здании жил и работал. »: мемориальные доски как образ исторической памяти // Труды Исторического факультета Санкт-Петербургского университета. 2013. №16.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Беседина Е. А., Буркова Т. В. "Город должен говорить. . . ": мемориальная доска как знак коммеморации и коммуникации в социокультурном пространстве // ЛиТ. Исторический альманах. 2014. №6.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Беседина Е. А., Буркова Т. В.: Мемориальная доска как знак исторической памяти // Сохранение историкокультурного наследия – будущее Санкт-Петербурга: Сборник материалов Всероссийской научно-практической конференции. 18 апреля 2013 года. СПб., 2013.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Беседина Е.А., Буркова Т.В. Мемориальные доски как знаки исторической памяти о Великой Отечественной войне // Патриотизм – феномен российской истории: Мат-лы Международной научнопрактической конференции / Под ред. С.К. Бостана, Г.В. Калининой, С.Ю. Каргопольцева, И.Ю. Лапиной и др. СПб.: СПбГАСУ, 2013. С.192-199.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Беседина Е. А., Буркова Т. В., Наливайко Р. А. История российского предпринимательства в знаках коммеморации: к постановке проблемы // Управленческое консультирование. 2016. №11 (95).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Беседина Е. А., Буркова Т. В.  «От доски до доски»: конструирование мифа и поиск идентичности в знаках коммеморации (на примере мемориальных досок) // ЛиТ. Исторический альманах. 2019. № 12.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Быкова Е. А. Многоканальность модульного мемориального текста // Известия РГПУ им. А. И. Герцена. 2011. №130.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Быкова Е.В. Модульный мемориальный текст как монументальная пропаганда // Известия РГПУ имени А.И. Герцена. Вып. 131, 2011. 131-137.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Быкова Е. В. Функция цитаты в модульном мемориальном тексте // Проблемы истории, филологии, культуры. 2011. №2 (32).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Вербловская И. С. Мемориальные доски в свете ахматовского Петербурга // Седьмые Ахматовские чтения. Петербургский диагноз. Сборник. Музей Анны Ахматовой в Фонтанном Доме. СПб., 2002.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Ефремова Н.Н. Мемориальные доски Санкт-Петербурга - художественно-выразительный и символический аспекты // Петербургские чтения, 98-99 : Материалы Энцикл. б-ки "Санкт-Петербург-2003" / Ассоц. исследователей С.-Петербурга. - СПб, 1999. - С.611-614.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Жарова Е. А. Балетный Петербург. Памятники и мемориальные доски в коллекции государственного музея городской скульптуры // Вестник Академии русского балета им. А. Я. Вагановой. 2015. №3 (38).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Исакова Е.В. Сохранение памяти о погибших воинах в полковых храмах [XIX - нач. XX вв.] // Петербургские чтения-95 : Материалы науч. конф., 22-26 мая 1995 г. / Ассоц. исследователей С.-Петербурга и др.. - СПб, 1995. - С.179-181.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lastRenderedPageBreak/>
        <w:t>Калинин Б. Н. (краевед), Юревич П.П. Памятники и мемориальные доски Ленинграда : Справочник. - 3-е изд., доп. и перераб. - Ленинград : Лениздат, 1979. - 519 с.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Кононов В. И. Памятники и мемориальные доски М. Ю. Лермонтову : каталог / Валерий Кононов. - Воронеж : Социум, 2014. - 47 с.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Кутейникова Нина Сергеевна Памяти великих побед России Храм Святого великомученика и целителя Пантелеимона в Санкт-Петербурге // Научные труды Санкт-Петербургской академии художеств. 2014. №31.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 xml:space="preserve">Мемориальные и информационные доски Колпинского района : справочник / авторы-составители Е. Сизёнов, А. Юдин. - Санкт-Петербург : Изд-во ООО "ЮПИ", 2022. - 91 с. 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Мемориальные доски Санкт-Петербурга : Справ / [Сост. Тимофеев В.Н. и др.]. - СПб. : Арт-Бюро, 1999. - 607,[1] с. : ил.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Мемориальные доски на территории СПбГПУ / М-во образования и науки Рос. Федерации, С.-Петерб. гос. политехн. ун-т ; [сост.: Н.П. Шаплыгин и др.]. - Санкт-Петербург : Изд-во политехнического университета, 2013. - 102 с.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Памятники и мемориальные доски В.И. Ленину в Ленинграде : Краткий справочник. - Ленинград : Лениздат, 1971. - 90 с. : ил.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Памятники и мемориальные доски Кронштадта : каталог / Санкт-Петербургское государственное бюджетное учреждение "Музей истории Кронштадта" ; [В.Я. Крестьянинов и др. редактор: Н.А. Смазнова]. - Санкт-Петербург : Лики России, 2014.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Патрикеева О. А., Беседина Е. А. 20-летний юбилей Первой русской революции в социокультурном пространстве Ленинграда // Культура и интеллигенция России: Личности. Творчество. Интеллектуальные диалоги в эпохи политических модернизаций: Материалы VIII Всероссийской научной конференции с международным участием в рамках подготовки к 300-летию Омска и празднования юбилейных событий российской истории (Омск, 16–18 октября 2012 г.) / Отв. ред. В. Г. Рыженко, О. В. Петренко. Омск, 2012.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Порецкина Э., Плышевская О. В мраморе, бронзе, граните — в сердцах // Белые ночи: Очерки, зарисовки, документы, воспоминания / Сост. И. И. Слобожан. Л., 1971.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Святославский А.В. Среда обитания как среда памяти: к истории отечественной мемориальной культуры. Автореф. дис… д-ра культурологии. М., 2011.</w:t>
      </w:r>
    </w:p>
    <w:p w:rsidR="00EE6AFB" w:rsidRDefault="00EE6AFB" w:rsidP="00EE6AFB">
      <w:pPr>
        <w:pStyle w:val="normal"/>
        <w:numPr>
          <w:ilvl w:val="0"/>
          <w:numId w:val="1"/>
        </w:numPr>
      </w:pPr>
      <w:r>
        <w:t>Скульптор Григорий Данилович Ястребенецкий. Ч. 2 : Мемориальные доски. Надгробия. Памятники. Композиции. - 2010. - 149 с. : ил.</w:t>
      </w:r>
    </w:p>
    <w:p w:rsidR="00EE6AFB" w:rsidRDefault="00EE6AFB" w:rsidP="00EE6AFB">
      <w:pPr>
        <w:pStyle w:val="normal"/>
      </w:pPr>
    </w:p>
    <w:p w:rsidR="00EE6AFB" w:rsidRDefault="00EE6AFB" w:rsidP="00EE6AFB">
      <w:pPr>
        <w:pStyle w:val="normal"/>
        <w:rPr>
          <w:b/>
          <w:bCs/>
        </w:rPr>
      </w:pPr>
      <w:r>
        <w:rPr>
          <w:b/>
          <w:bCs/>
        </w:rPr>
        <w:t>Периодическая печать:</w:t>
      </w:r>
    </w:p>
    <w:p w:rsidR="00EE6AFB" w:rsidRDefault="00EE6AFB" w:rsidP="00EE6AFB">
      <w:pPr>
        <w:pStyle w:val="normal"/>
      </w:pP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Алмазов А. Памятные места // </w:t>
      </w:r>
      <w:r>
        <w:rPr>
          <w:color w:val="24292E"/>
          <w:sz w:val="24"/>
          <w:szCs w:val="24"/>
          <w:highlight w:val="white"/>
        </w:rPr>
        <w:t>Вечерняя Москва, 1958, № 7, 9 января.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Видному деятелю // </w:t>
      </w:r>
      <w:r>
        <w:rPr>
          <w:color w:val="24292E"/>
          <w:sz w:val="24"/>
          <w:szCs w:val="24"/>
          <w:highlight w:val="white"/>
        </w:rPr>
        <w:t>Известия, 1984, № 81(20792).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В честь М. И. Чигорина // </w:t>
      </w:r>
      <w:r>
        <w:rPr>
          <w:color w:val="24292E"/>
          <w:sz w:val="24"/>
          <w:szCs w:val="24"/>
          <w:highlight w:val="white"/>
        </w:rPr>
        <w:t>Советский Спорт, 1959, №165.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“В этом доме жил Пушкин” // Известия, 1935, № 98.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>Дом, где жил поэт // Правда, 1935, №144 (6390).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Дружба, рожденная Октябрем! [Ленинград] // </w:t>
      </w:r>
      <w:r>
        <w:rPr>
          <w:color w:val="24292E"/>
          <w:sz w:val="24"/>
          <w:szCs w:val="24"/>
          <w:highlight w:val="white"/>
        </w:rPr>
        <w:t>Московская правда, 1965, №256.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Здесь выступал Ленин // Правда Севера, 1952, № 17.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Здесь жил Пушкин // </w:t>
      </w:r>
      <w:r>
        <w:rPr>
          <w:color w:val="24292E"/>
          <w:sz w:val="24"/>
          <w:szCs w:val="24"/>
          <w:highlight w:val="white"/>
        </w:rPr>
        <w:t>Вечерняя Москва, 1936, № 32, 9 февраля.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Квартира № 9 // Комсомольская правда, 1939, № 17 (4200).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Ленинград // Московская правда, 1983, №168.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lastRenderedPageBreak/>
        <w:t>Ленинградский день. Мемориальная доска на доме, где жил А. С. Грибоедов // Вечерняя Москва, 1945, № 20, 25 января.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Мемориальная доска Академии Художеств // </w:t>
      </w:r>
      <w:r>
        <w:rPr>
          <w:color w:val="24292E"/>
          <w:sz w:val="24"/>
          <w:szCs w:val="24"/>
          <w:highlight w:val="white"/>
        </w:rPr>
        <w:t>Вечерняя Москва, 1940, № 217, 18 сентября.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в зале им Ленина // Правда, 1937, №138 (7104).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на б. дворце Кшесинской // Известия, 1927, № 280.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на бывшем трубочном заводе // Известия, 1929, № 112.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на доме, где жил А. Н. Радищев // Советская Абхазия, 1949, № 174 (8154).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 Мемориальная доска на доме, где жил великий ученый // Сталинский сокол, 1949, № 229 (1453).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Мемориальная доска на доме, где жил В. И. Ленин // </w:t>
      </w:r>
      <w:r>
        <w:rPr>
          <w:color w:val="24292E"/>
          <w:sz w:val="24"/>
          <w:szCs w:val="24"/>
          <w:highlight w:val="white"/>
        </w:rPr>
        <w:t>Московская правда, 1935, № 19.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Мемориальная доска на доме, где жили В. И. Ленин и И. В. Сталин // Красный флот, 1948, № 173 (2967). 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на доме, где жил Ленин // Красная звезда, 1935, №19.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на здании Публичной библиотеки // Правда, 1944, № 284 (9741).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Мемориальная доска памяти И. А. Крылова //  Известия, 1944, № 280.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t xml:space="preserve">Мемориальная доска с заставы имени Коробицына // </w:t>
      </w:r>
      <w:r>
        <w:rPr>
          <w:color w:val="24292E"/>
          <w:sz w:val="24"/>
          <w:szCs w:val="24"/>
          <w:highlight w:val="white"/>
        </w:rPr>
        <w:t>Красная звезда, 1945, №34.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Мемориальные доски во дворце Урицкого // Известия, 1939, № 247.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Мемориальные доски в память русских ученых // Известия, 1949, № 8.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Мемориальные доски </w:t>
      </w:r>
      <w:r>
        <w:rPr>
          <w:color w:val="24292E"/>
          <w:sz w:val="24"/>
          <w:szCs w:val="24"/>
          <w:highlight w:val="white"/>
        </w:rPr>
        <w:t xml:space="preserve">[Ленинград] </w:t>
      </w:r>
      <w:r>
        <w:t>// Известия, 1940, № 227.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rPr>
          <w:color w:val="24292E"/>
          <w:sz w:val="24"/>
          <w:szCs w:val="24"/>
          <w:highlight w:val="white"/>
        </w:rPr>
        <w:t>Мемориальные доски [Ленинград] // Известия, 1957, № 260.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Мемориальные доски на домах, где жил и бывал А. С. Пушкин // Правда, 1937, №40 (7006).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Мемориальные доски на исторических зданиях Ленинграда // Правда, 1940, № 299 (8345).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Мемориальные доски на Политехническом институте им. М. И. Калинина и Кировском заводе //Вечерняя Москва, 1948, № 166, 15 июля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>Милорадович Т. Н. «Искусство выше личных симпатий…» // Вечерний Петербург. 2009. 4 декабря.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Мраморная доска на доме Новорусского // </w:t>
      </w:r>
      <w:r>
        <w:rPr>
          <w:color w:val="24292E"/>
          <w:sz w:val="24"/>
          <w:szCs w:val="24"/>
          <w:highlight w:val="white"/>
        </w:rPr>
        <w:t>Известия, 1925, № 219.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Музей Н. А. Некрасова // Вечерняя Москва, 1946, № 226, 26 сентября.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Открытие мемориальной доски В. Г. Белинскому в Ленинграде // Красный воин, 1948, № 133 (7449). 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>Памяти А. С. Попова // Известия, 1959, № 65.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Памяти великих русских авиаторов // </w:t>
      </w:r>
      <w:r>
        <w:rPr>
          <w:color w:val="24292E"/>
          <w:sz w:val="24"/>
          <w:szCs w:val="24"/>
          <w:highlight w:val="white"/>
        </w:rPr>
        <w:t>Комсомольская правда, 1951, № 22 (7889).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Памяти М. И. Калинина // </w:t>
      </w:r>
      <w:r>
        <w:rPr>
          <w:color w:val="24292E"/>
          <w:sz w:val="24"/>
          <w:szCs w:val="24"/>
          <w:highlight w:val="white"/>
        </w:rPr>
        <w:t>Красный воин, 1948, № 145 (7461).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Памяти М. И. Калинина. Открытие мемориальной доски на Балтийском заводе // </w:t>
      </w:r>
      <w:r>
        <w:rPr>
          <w:color w:val="24292E"/>
          <w:sz w:val="24"/>
          <w:szCs w:val="24"/>
          <w:highlight w:val="white"/>
        </w:rPr>
        <w:t>Красный флот, 1948, № 145 (2939).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Памяти писателя // Известия, 1984, № 236 (20947).</w:t>
      </w:r>
    </w:p>
    <w:p w:rsidR="00EE6AFB" w:rsidRDefault="00EE6AFB" w:rsidP="00EE6AFB">
      <w:pPr>
        <w:pStyle w:val="normal"/>
        <w:numPr>
          <w:ilvl w:val="0"/>
          <w:numId w:val="2"/>
        </w:numPr>
      </w:pPr>
      <w:r>
        <w:t xml:space="preserve">Памятная доска на “Авроре” // </w:t>
      </w:r>
      <w:r>
        <w:rPr>
          <w:color w:val="24292E"/>
          <w:sz w:val="24"/>
          <w:szCs w:val="24"/>
          <w:highlight w:val="white"/>
        </w:rPr>
        <w:t>Московская правда, 1927, № 248.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lastRenderedPageBreak/>
        <w:t>Прикрепление мемориальной доски на здание Электротехнического института // Правда, 1927, № 253 (3785).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Сегодня на “Красном Выборжце” // Комсомольская правда, 1948, № 23 (6962).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Там, где жил нелегально В. И. Ленин // Правда, 1935, №22 (6268).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Торжественное открытие мемориальной доски И. А. Крылову // Комсомольская правда, 1944, № 280 (5991)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Торжество в Ленинградском Электротехническом институте // Известия, 1927, № 254.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Улица Чайковского, 58 // Известия, 1963, №219.</w:t>
      </w:r>
    </w:p>
    <w:p w:rsidR="00EE6AFB" w:rsidRDefault="00EE6AFB" w:rsidP="00EE6AFB">
      <w:pPr>
        <w:pStyle w:val="normal"/>
        <w:numPr>
          <w:ilvl w:val="0"/>
          <w:numId w:val="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Утренние сообщения [Ленинград] // Вечерняя Москва, 1931, № 191, 12 августа.</w:t>
      </w:r>
    </w:p>
    <w:p w:rsidR="00F12DE4" w:rsidRPr="00EE6AFB" w:rsidRDefault="00EE6AFB">
      <w:pPr>
        <w:rPr>
          <w:lang/>
        </w:rPr>
      </w:pPr>
    </w:p>
    <w:sectPr w:rsidR="00F12DE4" w:rsidRPr="00EE6AFB" w:rsidSect="00E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162F"/>
    <w:multiLevelType w:val="multilevel"/>
    <w:tmpl w:val="9076A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E2E2295"/>
    <w:multiLevelType w:val="multilevel"/>
    <w:tmpl w:val="E214A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E6AFB"/>
    <w:rsid w:val="0098268C"/>
    <w:rsid w:val="00DC4E59"/>
    <w:rsid w:val="00ED6F8E"/>
    <w:rsid w:val="00EE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E6AF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2026-01-26T21:24:00Z</dcterms:created>
  <dcterms:modified xsi:type="dcterms:W3CDTF">2026-01-26T21:24:00Z</dcterms:modified>
</cp:coreProperties>
</file>